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51FF7F42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>eie 18.11.2025 nr. JT-ASJ-4/231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Vanade kaabelliinide asendamine uutega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 xml:space="preserve">JTI405 “Virtsu-Kalakonservi I ja II fiidri uuendamine Virtsu alevik, Lääneranna vald, Pärnumaa 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Draftit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kooskõlastus: 13.11.2025 nr 7.1-2/25/18528-2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Number ja nimetus: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10 Risti-Virtsu-Kuivastu-Kuressaare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19502:003:1090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Kinnistu registriosa number: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b/>
                <w:bCs/>
                <w:szCs w:val="24"/>
              </w:rPr>
              <w:t>14453750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KV77278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POS1:  elektrimaakaabelliinid ja reservtorud</w:t>
            </w:r>
          </w:p>
          <w:p w14:paraId="6C5C038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PARI id: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1016532</w:t>
            </w:r>
          </w:p>
          <w:p w14:paraId="1ABCB00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Pr="004170D9">
              <w:rPr>
                <w:rFonts w:eastAsia="Calibri"/>
                <w:color w:val="0070C0"/>
                <w:szCs w:val="24"/>
              </w:rPr>
              <w:t xml:space="preserve">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hyperlink r:id="rId9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https://pari.kataster.ee/magic-link/73bdd032-e86a-4a8a-aa63-f065a624e4f2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797C412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2EDC2C17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lastRenderedPageBreak/>
        <w:t xml:space="preserve">Lisad: </w:t>
      </w:r>
    </w:p>
    <w:p w14:paraId="0236C20B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09BEE396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kooskõlastus</w:t>
      </w:r>
    </w:p>
    <w:p w14:paraId="7B2D9ED3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A326B51" w14:textId="77777777" w:rsidR="00E27342" w:rsidRPr="00530DE9" w:rsidRDefault="00E27342" w:rsidP="00530DE9">
      <w:pPr>
        <w:spacing w:before="120"/>
        <w:rPr>
          <w:szCs w:val="24"/>
        </w:rPr>
      </w:pPr>
    </w:p>
    <w:sectPr w:rsidR="00E27342" w:rsidRPr="00530DE9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559A"/>
    <w:rsid w:val="000263AC"/>
    <w:rsid w:val="00026DA1"/>
    <w:rsid w:val="00042266"/>
    <w:rsid w:val="000769E5"/>
    <w:rsid w:val="00095335"/>
    <w:rsid w:val="000B6C8A"/>
    <w:rsid w:val="000D02B0"/>
    <w:rsid w:val="000D5887"/>
    <w:rsid w:val="000E3067"/>
    <w:rsid w:val="000E3B56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F24D5"/>
    <w:rsid w:val="004170D9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673"/>
    <w:rsid w:val="00591192"/>
    <w:rsid w:val="005A6BCE"/>
    <w:rsid w:val="005C1C2F"/>
    <w:rsid w:val="005C397C"/>
    <w:rsid w:val="005D004C"/>
    <w:rsid w:val="005D492A"/>
    <w:rsid w:val="0060169B"/>
    <w:rsid w:val="006167CE"/>
    <w:rsid w:val="0062181D"/>
    <w:rsid w:val="00637CBA"/>
    <w:rsid w:val="00656D62"/>
    <w:rsid w:val="00696783"/>
    <w:rsid w:val="006A4E51"/>
    <w:rsid w:val="006A50C4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41BC5"/>
    <w:rsid w:val="0084432E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8041E"/>
    <w:rsid w:val="009828FE"/>
    <w:rsid w:val="0098393B"/>
    <w:rsid w:val="00984429"/>
    <w:rsid w:val="00987B79"/>
    <w:rsid w:val="00987E5A"/>
    <w:rsid w:val="009B6150"/>
    <w:rsid w:val="009B7FD7"/>
    <w:rsid w:val="009D3190"/>
    <w:rsid w:val="009D66E6"/>
    <w:rsid w:val="009E61FD"/>
    <w:rsid w:val="009F04F3"/>
    <w:rsid w:val="009F3A39"/>
    <w:rsid w:val="009F532C"/>
    <w:rsid w:val="009F7A3B"/>
    <w:rsid w:val="00A01785"/>
    <w:rsid w:val="00A01871"/>
    <w:rsid w:val="00A16FE5"/>
    <w:rsid w:val="00A55AB0"/>
    <w:rsid w:val="00A6512D"/>
    <w:rsid w:val="00A71736"/>
    <w:rsid w:val="00A87CD7"/>
    <w:rsid w:val="00AA6B7A"/>
    <w:rsid w:val="00AB37CF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D59BA"/>
    <w:rsid w:val="00BD6CA1"/>
    <w:rsid w:val="00BE5B98"/>
    <w:rsid w:val="00BF3F4C"/>
    <w:rsid w:val="00C01B1B"/>
    <w:rsid w:val="00C111FF"/>
    <w:rsid w:val="00C51F07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40FE2"/>
    <w:rsid w:val="00D55CEF"/>
    <w:rsid w:val="00D60C19"/>
    <w:rsid w:val="00D864B7"/>
    <w:rsid w:val="00DA32D3"/>
    <w:rsid w:val="00DD61D3"/>
    <w:rsid w:val="00DE0EF3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F7658"/>
    <w:rsid w:val="00F032C7"/>
    <w:rsid w:val="00F10264"/>
    <w:rsid w:val="00F108DE"/>
    <w:rsid w:val="00F11CBD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73bdd032-e86a-4a8a-aa63-f065a624e4f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2</TotalTime>
  <Pages>2</Pages>
  <Words>224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2</cp:revision>
  <cp:lastPrinted>2012-01-13T05:57:00Z</cp:lastPrinted>
  <dcterms:created xsi:type="dcterms:W3CDTF">2025-11-18T12:54:00Z</dcterms:created>
  <dcterms:modified xsi:type="dcterms:W3CDTF">2025-11-18T12:54:00Z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